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Зарегистрировано в Минюсте России 3 октября 2024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79698</w:t>
      </w:r>
    </w:p>
    <w:p w:rsidR="00000000" w:rsidRDefault="00E5326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4 сентября 2024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449н</w:t>
      </w:r>
    </w:p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ВНЕСЕНИИ ИЗМЕНЕНИЙ В ПРАВИЛА ОБЯЗАТЕЛЬНОГО МЕДИЦИНСКОГО СТРАХОВАНИЯ, УТВЕРЖДЕННЫЕ ПРИКАЗОМ МИНИСТЕРСТВ</w:t>
      </w:r>
      <w:r>
        <w:rPr>
          <w:rFonts w:ascii="Times New Roman" w:hAnsi="Times New Roman"/>
          <w:b/>
          <w:bCs/>
          <w:sz w:val="36"/>
          <w:szCs w:val="36"/>
        </w:rPr>
        <w:t xml:space="preserve">А ЗДРАВООХРАНЕНИЯ РОССИЙСКОЙ ФЕДЕРАЦИИ ОТ 28 ФЕВРАЛЯ 2019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108Н, И ПОРЯДОК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</w:t>
      </w:r>
      <w:r>
        <w:rPr>
          <w:rFonts w:ascii="Times New Roman" w:hAnsi="Times New Roman"/>
          <w:b/>
          <w:bCs/>
          <w:sz w:val="36"/>
          <w:szCs w:val="36"/>
        </w:rPr>
        <w:t xml:space="preserve">ОБЕСПЕЧЕНИЯ, УТВЕРЖДЕННЫЙ ПРИКАЗОМ МИНИСТЕРСТВА ЗДРАВООХРАНЕНИЯ РОССИЙСКОЙ ФЕДЕРАЦИИ ОТ 19 МАРТА 2021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231Н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подпунктами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5.2.136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5.2.136.3</w:t>
        </w:r>
      </w:hyperlink>
      <w:r>
        <w:rPr>
          <w:rFonts w:ascii="Times New Roman" w:hAnsi="Times New Roman"/>
          <w:sz w:val="24"/>
          <w:szCs w:val="24"/>
        </w:rPr>
        <w:t xml:space="preserve">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608, приказываю: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</w:t>
      </w:r>
      <w:r>
        <w:rPr>
          <w:rFonts w:ascii="Times New Roman" w:hAnsi="Times New Roman"/>
          <w:sz w:val="24"/>
          <w:szCs w:val="24"/>
        </w:rPr>
        <w:t xml:space="preserve">менения в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/>
          <w:sz w:val="24"/>
          <w:szCs w:val="24"/>
        </w:rPr>
        <w:t xml:space="preserve"> обязательного медицинского страхования, утвержденные приказом Министерства здравоохранения Российской Федерации от 28 февраля 2019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108н (зарегистриров</w:t>
      </w:r>
      <w:r>
        <w:rPr>
          <w:rFonts w:ascii="Times New Roman" w:hAnsi="Times New Roman"/>
          <w:sz w:val="24"/>
          <w:szCs w:val="24"/>
        </w:rPr>
        <w:t xml:space="preserve">ан Министерством юстиции Российской Федерации 17 мая 2019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54643), с изменениями, внесенными приказами Министерства здравоохранения Российской Федерации от 9 апреля 2020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299н (зарегистрирован Министерством юстиции Российской Федер</w:t>
      </w:r>
      <w:r>
        <w:rPr>
          <w:rFonts w:ascii="Times New Roman" w:hAnsi="Times New Roman"/>
          <w:sz w:val="24"/>
          <w:szCs w:val="24"/>
        </w:rPr>
        <w:t xml:space="preserve">ации 14 апреля 2020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58074), от 25 сентября 2020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1024н (зарегистрирован Министерством юстиции Российской Федерации 14 октября 2020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60369), от 10 февраля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65н (зарегистрирован Министерством юстиции Ро</w:t>
      </w:r>
      <w:r>
        <w:rPr>
          <w:rFonts w:ascii="Times New Roman" w:hAnsi="Times New Roman"/>
          <w:sz w:val="24"/>
          <w:szCs w:val="24"/>
        </w:rPr>
        <w:t xml:space="preserve">ссийской Федерации 17 марта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62797), от 26 марта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254н (зарегистрирован Министерством </w:t>
      </w:r>
      <w:r>
        <w:rPr>
          <w:rFonts w:ascii="Times New Roman" w:hAnsi="Times New Roman"/>
          <w:sz w:val="24"/>
          <w:szCs w:val="24"/>
        </w:rPr>
        <w:lastRenderedPageBreak/>
        <w:t xml:space="preserve">юстиции Российской Федерации 22 апреля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63210), от 1 июля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696н (зарегистрирован Министерством юстиц</w:t>
      </w:r>
      <w:r>
        <w:rPr>
          <w:rFonts w:ascii="Times New Roman" w:hAnsi="Times New Roman"/>
          <w:sz w:val="24"/>
          <w:szCs w:val="24"/>
        </w:rPr>
        <w:t xml:space="preserve">ии Российской Федерации 29 июля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64445), от 3 сентября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908н (зарегистрирован Министерством юстиции Российской Федерации 5 октября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65295), от 15 декабря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1148н (зарегистрирован Министер</w:t>
      </w:r>
      <w:r>
        <w:rPr>
          <w:rFonts w:ascii="Times New Roman" w:hAnsi="Times New Roman"/>
          <w:sz w:val="24"/>
          <w:szCs w:val="24"/>
        </w:rPr>
        <w:t xml:space="preserve">ством юстиции Российской Федерации 24 января 2022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66968), от 21 февраля 2022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100н (зарегистрирован Министерством юстиции Российской Федерации 28 февраля 2022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67559) и от 13 декабря 2022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789н (зарегистри</w:t>
      </w:r>
      <w:r>
        <w:rPr>
          <w:rFonts w:ascii="Times New Roman" w:hAnsi="Times New Roman"/>
          <w:sz w:val="24"/>
          <w:szCs w:val="24"/>
        </w:rPr>
        <w:t xml:space="preserve">рован Министерством юстиции Российской Федерации 30 декабря 2022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71905), 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Порядок</w:t>
        </w:r>
      </w:hyperlink>
      <w:r>
        <w:rPr>
          <w:rFonts w:ascii="Times New Roman" w:hAnsi="Times New Roman"/>
          <w:sz w:val="24"/>
          <w:szCs w:val="24"/>
        </w:rPr>
        <w:t xml:space="preserve"> проведения контроля объемов, сроков, качества и условий предоставлени</w:t>
      </w:r>
      <w:r>
        <w:rPr>
          <w:rFonts w:ascii="Times New Roman" w:hAnsi="Times New Roman"/>
          <w:sz w:val="24"/>
          <w:szCs w:val="24"/>
        </w:rPr>
        <w:t xml:space="preserve">я медицинской помощи по обязательному медицинскому страхованию застрахованным лицам, а также ее финансового обеспечения, утвержденный приказом Министерства здравоохранения Российской Федерации от 19 марта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231н (зарегистрирован Министерством юстиц</w:t>
      </w:r>
      <w:r>
        <w:rPr>
          <w:rFonts w:ascii="Times New Roman" w:hAnsi="Times New Roman"/>
          <w:sz w:val="24"/>
          <w:szCs w:val="24"/>
        </w:rPr>
        <w:t xml:space="preserve">ии Российской Федерации 13 мая 2021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63410), с изменениями, внесенными приказами Министерства здравоохранения Российской Федерации от 1 июля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696н (зарегистрирован Министерством юстиции Российской Федерации 29 июля 2021 г., ре</w:t>
      </w:r>
      <w:r>
        <w:rPr>
          <w:rFonts w:ascii="Times New Roman" w:hAnsi="Times New Roman"/>
          <w:sz w:val="24"/>
          <w:szCs w:val="24"/>
        </w:rPr>
        <w:t xml:space="preserve">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64445) и от 21 февраля 2022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100н (зарегистрирован Министерством юстиции Российской Федерации 28 февраля 2022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67559), согласно приложению к настоящему приказу.</w:t>
      </w:r>
    </w:p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М.А. МУРАШКО</w:t>
      </w:r>
    </w:p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приказу Министерст</w:t>
      </w:r>
      <w:r>
        <w:rPr>
          <w:rFonts w:ascii="Times New Roman" w:hAnsi="Times New Roman"/>
          <w:i/>
          <w:iCs/>
          <w:sz w:val="24"/>
          <w:szCs w:val="24"/>
        </w:rPr>
        <w:t>ва здравоохранения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4 сентября 2024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449н</w:t>
      </w:r>
    </w:p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ИЗМЕНЕНИЯ, КОТОРЫЕ ВНОСЯТСЯ В ПРАВИЛА ОБЯЗАТЕЛЬНОГО МЕДИЦИНСКОГО СТРАХОВАНИЯ, УТВЕРЖДЕННЫЕ ПРИКАЗОМ МИНИСТЕРСТВА ЗДРАВООХРАНЕНИЯ РОССИЙСКОЙ ФЕДЕРАЦИИ ОТ 28 ФЕВРАЛЯ 2019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108Н, И ПОРЯ</w:t>
      </w:r>
      <w:r>
        <w:rPr>
          <w:rFonts w:ascii="Times New Roman" w:hAnsi="Times New Roman"/>
          <w:b/>
          <w:bCs/>
          <w:sz w:val="36"/>
          <w:szCs w:val="36"/>
        </w:rPr>
        <w:t xml:space="preserve">ДОК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УТВЕРЖДЕННЫЙ </w:t>
      </w:r>
      <w:r>
        <w:rPr>
          <w:rFonts w:ascii="Times New Roman" w:hAnsi="Times New Roman"/>
          <w:b/>
          <w:bCs/>
          <w:sz w:val="36"/>
          <w:szCs w:val="36"/>
        </w:rPr>
        <w:lastRenderedPageBreak/>
        <w:t xml:space="preserve">ПРИКАЗОМ МИНИСТЕРСТВА ЗДРАВООХРАНЕНИЯ РОССИЙСКОЙ </w:t>
      </w:r>
      <w:r>
        <w:rPr>
          <w:rFonts w:ascii="Times New Roman" w:hAnsi="Times New Roman"/>
          <w:b/>
          <w:bCs/>
          <w:sz w:val="36"/>
          <w:szCs w:val="36"/>
        </w:rPr>
        <w:t xml:space="preserve">ФЕДЕРАЦИИ ОТ 19 МАРТА 2021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231Н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Правилах</w:t>
        </w:r>
      </w:hyperlink>
      <w:r>
        <w:rPr>
          <w:rFonts w:ascii="Times New Roman" w:hAnsi="Times New Roman"/>
          <w:sz w:val="24"/>
          <w:szCs w:val="24"/>
        </w:rPr>
        <w:t xml:space="preserve"> обязательного медицинского страхования, утвержденных приказом Министерства здравоохранения Российской Федерации от 28 февр</w:t>
      </w:r>
      <w:r>
        <w:rPr>
          <w:rFonts w:ascii="Times New Roman" w:hAnsi="Times New Roman"/>
          <w:sz w:val="24"/>
          <w:szCs w:val="24"/>
        </w:rPr>
        <w:t xml:space="preserve">аля 2019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108н (далее - Правила):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/>
          <w:sz w:val="24"/>
          <w:szCs w:val="24"/>
        </w:rPr>
        <w:t xml:space="preserve"> слово "должна" заменить словом "должно";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подпункт 1</w:t>
        </w:r>
      </w:hyperlink>
      <w:r>
        <w:rPr>
          <w:rFonts w:ascii="Times New Roman" w:hAnsi="Times New Roman"/>
          <w:sz w:val="24"/>
          <w:szCs w:val="24"/>
        </w:rPr>
        <w:t xml:space="preserve"> пункта 186 изложить в следующей редакции: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"1)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</w:t>
      </w:r>
      <w:r>
        <w:rPr>
          <w:rFonts w:ascii="Times New Roman" w:hAnsi="Times New Roman"/>
          <w:sz w:val="24"/>
          <w:szCs w:val="24"/>
        </w:rPr>
        <w:t>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</w:t>
      </w:r>
      <w:r>
        <w:rPr>
          <w:rFonts w:ascii="Times New Roman" w:hAnsi="Times New Roman"/>
          <w:sz w:val="24"/>
          <w:szCs w:val="24"/>
        </w:rPr>
        <w:t>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включая расходы на техническое обслуживание и ремонт основн</w:t>
      </w:r>
      <w:r>
        <w:rPr>
          <w:rFonts w:ascii="Times New Roman" w:hAnsi="Times New Roman"/>
          <w:sz w:val="24"/>
          <w:szCs w:val="24"/>
        </w:rPr>
        <w:t>ых средств,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которые детали</w:t>
      </w:r>
      <w:r>
        <w:rPr>
          <w:rFonts w:ascii="Times New Roman" w:hAnsi="Times New Roman"/>
          <w:sz w:val="24"/>
          <w:szCs w:val="24"/>
        </w:rPr>
        <w:t xml:space="preserve">зируются в соответствии с порядком, устанавливаемым в соответствии со статьями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18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23.1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165</w:t>
        </w:r>
      </w:hyperlink>
      <w:r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расходы на приобретение основных средств (оборудование, производственный и хозяйственный инвентарь) стоимостью до четырехс</w:t>
      </w:r>
      <w:r>
        <w:rPr>
          <w:rFonts w:ascii="Times New Roman" w:hAnsi="Times New Roman"/>
          <w:sz w:val="24"/>
          <w:szCs w:val="24"/>
        </w:rPr>
        <w:t xml:space="preserve">от тысяч рублей за единицу в соответствии с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/>
          <w:sz w:val="24"/>
          <w:szCs w:val="24"/>
        </w:rPr>
        <w:t xml:space="preserve"> статьи 35 Федерального закона;";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пункте 198</w:t>
        </w:r>
      </w:hyperlink>
      <w:r>
        <w:rPr>
          <w:rFonts w:ascii="Times New Roman" w:hAnsi="Times New Roman"/>
          <w:sz w:val="24"/>
          <w:szCs w:val="24"/>
        </w:rPr>
        <w:t xml:space="preserve"> слово "ста" заменить словом "четырехсот";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в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подпункте 6</w:t>
        </w:r>
      </w:hyperlink>
      <w:r>
        <w:rPr>
          <w:rFonts w:ascii="Times New Roman" w:hAnsi="Times New Roman"/>
          <w:sz w:val="24"/>
          <w:szCs w:val="24"/>
        </w:rPr>
        <w:t xml:space="preserve"> пункта 204: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цифру "&lt;10.2&gt;"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слово "ста" заменить словом "четырехсот";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в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пункте 207</w:t>
        </w:r>
      </w:hyperlink>
      <w:r>
        <w:rPr>
          <w:rFonts w:ascii="Times New Roman" w:hAnsi="Times New Roman"/>
          <w:sz w:val="24"/>
          <w:szCs w:val="24"/>
        </w:rPr>
        <w:t xml:space="preserve"> слово "ста" заменить словом "четырехсот";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в пункте 209 в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таблице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сноску</w:t>
        </w:r>
      </w:hyperlink>
      <w:r>
        <w:rPr>
          <w:rFonts w:ascii="Times New Roman" w:hAnsi="Times New Roman"/>
          <w:sz w:val="24"/>
          <w:szCs w:val="24"/>
        </w:rPr>
        <w:t xml:space="preserve"> к пунктам 1.3 и 2.7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пункт 1.3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7200"/>
        <w:gridCol w:w="1170"/>
      </w:tblGrid>
      <w:tr w:rsidR="00000000" w:rsidRPr="00E53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53265" w:rsidRDefault="00E5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6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53265" w:rsidRDefault="00E5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65">
              <w:rPr>
                <w:rFonts w:ascii="Times New Roman" w:hAnsi="Times New Roman"/>
                <w:sz w:val="24"/>
                <w:szCs w:val="24"/>
              </w:rPr>
              <w:t xml:space="preserve">Сумма начисленной амортизации основных средств (оборудование, производственный и хозяйственный инвентарь) стоимостью до четырехсот тысяч рублей за единицу, используемых при оказании медицинской помощи (медицинской услуги) (стоимостью свыше </w:t>
            </w:r>
            <w:r w:rsidRPr="00E532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четырехсот </w:t>
            </w:r>
            <w:r w:rsidRPr="00E53265">
              <w:rPr>
                <w:rFonts w:ascii="Times New Roman" w:hAnsi="Times New Roman"/>
                <w:sz w:val="24"/>
                <w:szCs w:val="24"/>
              </w:rPr>
              <w:t>тысяч рублей за единицу - при включении указанных расходов в территориальную программу)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53265" w:rsidRDefault="00E5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6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";</w:t>
      </w:r>
    </w:p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пункт 2.7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7200"/>
        <w:gridCol w:w="1170"/>
      </w:tblGrid>
      <w:tr w:rsidR="00000000" w:rsidRPr="00E53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53265" w:rsidRDefault="00E5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65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53265" w:rsidRDefault="00E5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65">
              <w:rPr>
                <w:rFonts w:ascii="Times New Roman" w:hAnsi="Times New Roman"/>
                <w:sz w:val="24"/>
                <w:szCs w:val="24"/>
              </w:rPr>
              <w:t>Сумма начисленной аморт</w:t>
            </w:r>
            <w:r w:rsidRPr="00E53265">
              <w:rPr>
                <w:rFonts w:ascii="Times New Roman" w:hAnsi="Times New Roman"/>
                <w:sz w:val="24"/>
                <w:szCs w:val="24"/>
              </w:rPr>
              <w:t>изации основных средств (оборудование, производственный и хозяйственный инвентарь) стоимостью до четырехсот тысяч рублей за единицу, не используемых при оказании медицинской помощи (медицинской услуги) (стоимостью свыше четырехсот тысяч рублей за единицу -</w:t>
            </w:r>
            <w:r w:rsidRPr="00E53265">
              <w:rPr>
                <w:rFonts w:ascii="Times New Roman" w:hAnsi="Times New Roman"/>
                <w:sz w:val="24"/>
                <w:szCs w:val="24"/>
              </w:rPr>
              <w:t xml:space="preserve"> при включении указанных расходов в территориальную программу)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53265" w:rsidRDefault="00E53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26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";</w:t>
      </w:r>
    </w:p>
    <w:p w:rsidR="00000000" w:rsidRDefault="00E532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в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пункте 233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после слов "профилактических мероприятий," дополнить словами "в случае поступлени</w:t>
      </w:r>
      <w:r>
        <w:rPr>
          <w:rFonts w:ascii="Times New Roman" w:hAnsi="Times New Roman"/>
          <w:sz w:val="24"/>
          <w:szCs w:val="24"/>
        </w:rPr>
        <w:t xml:space="preserve">я от территориального фонда сведений о причинах возврата направления на медико-социальную экспертизу в медицинскую организацию информирование застрахованных лиц в том числе о необходимости прохождения дополнительных медицинских обследований в соответствии </w:t>
      </w:r>
      <w:r>
        <w:rPr>
          <w:rFonts w:ascii="Times New Roman" w:hAnsi="Times New Roman"/>
          <w:sz w:val="24"/>
          <w:szCs w:val="24"/>
        </w:rPr>
        <w:t>с перечнем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 &lt;17.1&gt;,";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дополнить сноской &lt;17.1&gt; следующего содержания: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"&lt;17.1&gt; Приказ Министерст</w:t>
      </w:r>
      <w:r>
        <w:rPr>
          <w:rFonts w:ascii="Times New Roman" w:hAnsi="Times New Roman"/>
          <w:sz w:val="24"/>
          <w:szCs w:val="24"/>
        </w:rPr>
        <w:t xml:space="preserve">ва труда и социальной защиты Российской Федерации и Министерства здравоохранения Российской Федерации от 16 мая 2024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259н/238н "Об утверждении перечня медицинских обследований, необходимых для получения клинико-функциональных данных в зависимости от з</w:t>
      </w:r>
      <w:r>
        <w:rPr>
          <w:rFonts w:ascii="Times New Roman" w:hAnsi="Times New Roman"/>
          <w:sz w:val="24"/>
          <w:szCs w:val="24"/>
        </w:rPr>
        <w:t xml:space="preserve">аболевания в целях проведения медико-социальной экспертизы" (зарегистрирован Министерством юстиции Российской Федерации 9 августа 2024 г., регистрационный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79078).";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в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пу</w:t>
        </w:r>
        <w:r>
          <w:rPr>
            <w:rFonts w:ascii="Times New Roman" w:hAnsi="Times New Roman"/>
            <w:sz w:val="24"/>
            <w:szCs w:val="24"/>
            <w:u w:val="single"/>
          </w:rPr>
          <w:t>нкте 250</w:t>
        </w:r>
      </w:hyperlink>
      <w:r>
        <w:rPr>
          <w:rFonts w:ascii="Times New Roman" w:hAnsi="Times New Roman"/>
          <w:sz w:val="24"/>
          <w:szCs w:val="24"/>
        </w:rPr>
        <w:t xml:space="preserve"> слова "и с учетом стандартов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в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приложении N 5</w:t>
        </w:r>
      </w:hyperlink>
      <w:r>
        <w:rPr>
          <w:rFonts w:ascii="Times New Roman" w:hAnsi="Times New Roman"/>
          <w:sz w:val="24"/>
          <w:szCs w:val="24"/>
        </w:rPr>
        <w:t xml:space="preserve"> к Правилам: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пункте 2.10</w:t>
        </w:r>
      </w:hyperlink>
      <w:r>
        <w:rPr>
          <w:rFonts w:ascii="Times New Roman" w:hAnsi="Times New Roman"/>
          <w:sz w:val="24"/>
          <w:szCs w:val="24"/>
        </w:rPr>
        <w:t xml:space="preserve"> раздела 2 в графе "Перечень оснований" слова ", с учетом стандартов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пункте 3.1</w:t>
        </w:r>
      </w:hyperlink>
      <w:r>
        <w:rPr>
          <w:rFonts w:ascii="Times New Roman" w:hAnsi="Times New Roman"/>
          <w:sz w:val="24"/>
          <w:szCs w:val="24"/>
        </w:rPr>
        <w:t xml:space="preserve"> раздела 3 в графе "Пе</w:t>
      </w:r>
      <w:r>
        <w:rPr>
          <w:rFonts w:ascii="Times New Roman" w:hAnsi="Times New Roman"/>
          <w:sz w:val="24"/>
          <w:szCs w:val="24"/>
        </w:rPr>
        <w:t>речень оснований" слова "и с учетом стандартов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пункте 3.2</w:t>
        </w:r>
      </w:hyperlink>
      <w:r>
        <w:rPr>
          <w:rFonts w:ascii="Times New Roman" w:hAnsi="Times New Roman"/>
          <w:sz w:val="24"/>
          <w:szCs w:val="24"/>
        </w:rPr>
        <w:t xml:space="preserve"> раздела 3 в графе "Перечень оснований" слова "и с учетом стандартов медицинск</w:t>
      </w:r>
      <w:r>
        <w:rPr>
          <w:rFonts w:ascii="Times New Roman" w:hAnsi="Times New Roman"/>
          <w:sz w:val="24"/>
          <w:szCs w:val="24"/>
        </w:rPr>
        <w:t>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пункте 3.3</w:t>
        </w:r>
      </w:hyperlink>
      <w:r>
        <w:rPr>
          <w:rFonts w:ascii="Times New Roman" w:hAnsi="Times New Roman"/>
          <w:sz w:val="24"/>
          <w:szCs w:val="24"/>
        </w:rPr>
        <w:t xml:space="preserve"> раздела 3 в графе "Перечень оснований" слова ", стандартами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д) в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пункте 3.7</w:t>
        </w:r>
      </w:hyperlink>
      <w:r>
        <w:rPr>
          <w:rFonts w:ascii="Times New Roman" w:hAnsi="Times New Roman"/>
          <w:sz w:val="24"/>
          <w:szCs w:val="24"/>
        </w:rPr>
        <w:t xml:space="preserve"> раздела 3 графу "Перечень оснований" изложить в следующей редакции: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"Госпитализация застрахованного лица в плановой или неотложной форме с нарушением требований к профильности оказанной медицинской</w:t>
      </w:r>
      <w:r>
        <w:rPr>
          <w:rFonts w:ascii="Times New Roman" w:hAnsi="Times New Roman"/>
          <w:sz w:val="24"/>
          <w:szCs w:val="24"/>
        </w:rPr>
        <w:t xml:space="preserve"> помощи (непрофильная госпитализация), кроме случаев госпитализации в неотложной и экстренной форме с последующим переводом в профильные медицинские организации (структурные подразделения медицинских организаций) в течение суток или более, если перевод в т</w:t>
      </w:r>
      <w:r>
        <w:rPr>
          <w:rFonts w:ascii="Times New Roman" w:hAnsi="Times New Roman"/>
          <w:sz w:val="24"/>
          <w:szCs w:val="24"/>
        </w:rPr>
        <w:t>ечение суток невозможен с учетом тяжести состояния пациента и его транспортабельности.";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в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пункте 3.13</w:t>
        </w:r>
      </w:hyperlink>
      <w:r>
        <w:rPr>
          <w:rFonts w:ascii="Times New Roman" w:hAnsi="Times New Roman"/>
          <w:sz w:val="24"/>
          <w:szCs w:val="24"/>
        </w:rPr>
        <w:t xml:space="preserve"> раздела 3 в графе "Перечень оснований" слова "стандартов медицинс</w:t>
      </w:r>
      <w:r>
        <w:rPr>
          <w:rFonts w:ascii="Times New Roman" w:hAnsi="Times New Roman"/>
          <w:sz w:val="24"/>
          <w:szCs w:val="24"/>
        </w:rPr>
        <w:t>кой помощи и" исключить.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Порядке</w:t>
        </w:r>
      </w:hyperlink>
      <w:r>
        <w:rPr>
          <w:rFonts w:ascii="Times New Roman" w:hAnsi="Times New Roman"/>
          <w:sz w:val="24"/>
          <w:szCs w:val="24"/>
        </w:rPr>
        <w:t xml:space="preserve"> проведения контроля объемов, сроков, качества и условий предоставления медицинской помощи по обязательному медицинскому страхованию заст</w:t>
      </w:r>
      <w:r>
        <w:rPr>
          <w:rFonts w:ascii="Times New Roman" w:hAnsi="Times New Roman"/>
          <w:sz w:val="24"/>
          <w:szCs w:val="24"/>
        </w:rPr>
        <w:t xml:space="preserve">рахованным лицам, а также ее финансового обеспечения, утвержденном приказом Министерства здравоохранения Российской Федерации от 19 марта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231н (далее - Порядок):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абзаце третьем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подпункта 3</w:t>
        </w:r>
      </w:hyperlink>
      <w:r>
        <w:rPr>
          <w:rFonts w:ascii="Times New Roman" w:hAnsi="Times New Roman"/>
          <w:sz w:val="24"/>
          <w:szCs w:val="24"/>
        </w:rPr>
        <w:t xml:space="preserve"> пункта 6 слова ", с учетом стандартов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подпункте 3</w:t>
        </w:r>
      </w:hyperlink>
      <w:r>
        <w:rPr>
          <w:rFonts w:ascii="Times New Roman" w:hAnsi="Times New Roman"/>
          <w:sz w:val="24"/>
          <w:szCs w:val="24"/>
        </w:rPr>
        <w:t xml:space="preserve"> пункта 17 слова ", стандартам медицинской помощи" исключ</w:t>
      </w:r>
      <w:r>
        <w:rPr>
          <w:rFonts w:ascii="Times New Roman" w:hAnsi="Times New Roman"/>
          <w:sz w:val="24"/>
          <w:szCs w:val="24"/>
        </w:rPr>
        <w:t>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подпункте 5</w:t>
        </w:r>
      </w:hyperlink>
      <w:r>
        <w:rPr>
          <w:rFonts w:ascii="Times New Roman" w:hAnsi="Times New Roman"/>
          <w:sz w:val="24"/>
          <w:szCs w:val="24"/>
        </w:rPr>
        <w:t xml:space="preserve"> пункта 18 слова ", стандарты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в абзаце первом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пункта 28</w:t>
        </w:r>
      </w:hyperlink>
      <w:r>
        <w:rPr>
          <w:rFonts w:ascii="Times New Roman" w:hAnsi="Times New Roman"/>
          <w:sz w:val="24"/>
          <w:szCs w:val="24"/>
        </w:rPr>
        <w:t xml:space="preserve"> слова ", стандартам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в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пункте 33</w:t>
        </w:r>
      </w:hyperlink>
      <w:r>
        <w:rPr>
          <w:rFonts w:ascii="Times New Roman" w:hAnsi="Times New Roman"/>
          <w:sz w:val="24"/>
          <w:szCs w:val="24"/>
        </w:rPr>
        <w:t xml:space="preserve"> слова "и с учетом стандартов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в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подпункте 6</w:t>
        </w:r>
      </w:hyperlink>
      <w:r>
        <w:rPr>
          <w:rFonts w:ascii="Times New Roman" w:hAnsi="Times New Roman"/>
          <w:sz w:val="24"/>
          <w:szCs w:val="24"/>
        </w:rPr>
        <w:t xml:space="preserve"> пункта 37 слова ", стандартам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в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пункте 39</w:t>
        </w:r>
      </w:hyperlink>
      <w:r>
        <w:rPr>
          <w:rFonts w:ascii="Times New Roman" w:hAnsi="Times New Roman"/>
          <w:sz w:val="24"/>
          <w:szCs w:val="24"/>
        </w:rPr>
        <w:t xml:space="preserve"> слова "и с учетом ст</w:t>
      </w:r>
      <w:r>
        <w:rPr>
          <w:rFonts w:ascii="Times New Roman" w:hAnsi="Times New Roman"/>
          <w:sz w:val="24"/>
          <w:szCs w:val="24"/>
        </w:rPr>
        <w:t>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в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подпункте 5</w:t>
        </w:r>
      </w:hyperlink>
      <w:r>
        <w:rPr>
          <w:rFonts w:ascii="Times New Roman" w:hAnsi="Times New Roman"/>
          <w:sz w:val="24"/>
          <w:szCs w:val="24"/>
        </w:rPr>
        <w:t xml:space="preserve"> пункта 40 слова "стандарты медицинской помощи,"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в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подпункте 1</w:t>
        </w:r>
      </w:hyperlink>
      <w:r>
        <w:rPr>
          <w:rFonts w:ascii="Times New Roman" w:hAnsi="Times New Roman"/>
          <w:sz w:val="24"/>
          <w:szCs w:val="24"/>
        </w:rPr>
        <w:t xml:space="preserve"> пункта 95 слова "и с учетом стандартов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в 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>подпункте 2</w:t>
        </w:r>
      </w:hyperlink>
      <w:r>
        <w:rPr>
          <w:rFonts w:ascii="Times New Roman" w:hAnsi="Times New Roman"/>
          <w:sz w:val="24"/>
          <w:szCs w:val="24"/>
        </w:rPr>
        <w:t xml:space="preserve"> пункта 100 слова ", стандартах медицинск</w:t>
      </w:r>
      <w:r>
        <w:rPr>
          <w:rFonts w:ascii="Times New Roman" w:hAnsi="Times New Roman"/>
          <w:sz w:val="24"/>
          <w:szCs w:val="24"/>
        </w:rPr>
        <w:t>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в абзаце третьем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подпункта 5</w:t>
        </w:r>
      </w:hyperlink>
      <w:r>
        <w:rPr>
          <w:rFonts w:ascii="Times New Roman" w:hAnsi="Times New Roman"/>
          <w:sz w:val="24"/>
          <w:szCs w:val="24"/>
        </w:rPr>
        <w:t xml:space="preserve"> пункта 101 слова ", стандартов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в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приложении</w:t>
        </w:r>
      </w:hyperlink>
      <w:r>
        <w:rPr>
          <w:rFonts w:ascii="Times New Roman" w:hAnsi="Times New Roman"/>
          <w:sz w:val="24"/>
          <w:szCs w:val="24"/>
        </w:rPr>
        <w:t xml:space="preserve"> к Порядку: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пункте 2.10</w:t>
        </w:r>
      </w:hyperlink>
      <w:r>
        <w:rPr>
          <w:rFonts w:ascii="Times New Roman" w:hAnsi="Times New Roman"/>
          <w:sz w:val="24"/>
          <w:szCs w:val="24"/>
        </w:rPr>
        <w:t xml:space="preserve"> раздела 2 в графе "Перечень оснований" слова ", с</w:t>
      </w:r>
      <w:r>
        <w:rPr>
          <w:rFonts w:ascii="Times New Roman" w:hAnsi="Times New Roman"/>
          <w:sz w:val="24"/>
          <w:szCs w:val="24"/>
        </w:rPr>
        <w:t xml:space="preserve"> учетом стандартов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пункте 3.1</w:t>
        </w:r>
      </w:hyperlink>
      <w:r>
        <w:rPr>
          <w:rFonts w:ascii="Times New Roman" w:hAnsi="Times New Roman"/>
          <w:sz w:val="24"/>
          <w:szCs w:val="24"/>
        </w:rPr>
        <w:t xml:space="preserve"> раздела 3 в графе "Перечень оснований" слова "и с учетом стандартов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пункте 3.2</w:t>
        </w:r>
      </w:hyperlink>
      <w:r>
        <w:rPr>
          <w:rFonts w:ascii="Times New Roman" w:hAnsi="Times New Roman"/>
          <w:sz w:val="24"/>
          <w:szCs w:val="24"/>
        </w:rPr>
        <w:t xml:space="preserve"> раздела 3 в графе "Перечень оснований" слова "и с учетом стандартов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пункте 3.3</w:t>
        </w:r>
      </w:hyperlink>
      <w:r>
        <w:rPr>
          <w:rFonts w:ascii="Times New Roman" w:hAnsi="Times New Roman"/>
          <w:sz w:val="24"/>
          <w:szCs w:val="24"/>
        </w:rPr>
        <w:t xml:space="preserve"> раздела 3 в графе "Перечень оснований" слова ", стандартами медицинской помощи" исключить;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в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пункте 3.7</w:t>
        </w:r>
      </w:hyperlink>
      <w:r>
        <w:rPr>
          <w:rFonts w:ascii="Times New Roman" w:hAnsi="Times New Roman"/>
          <w:sz w:val="24"/>
          <w:szCs w:val="24"/>
        </w:rPr>
        <w:t xml:space="preserve"> раздела 3 графу "Перечень осн</w:t>
      </w:r>
      <w:r>
        <w:rPr>
          <w:rFonts w:ascii="Times New Roman" w:hAnsi="Times New Roman"/>
          <w:sz w:val="24"/>
          <w:szCs w:val="24"/>
        </w:rPr>
        <w:t>ований" изложить в следующей редакции:</w:t>
      </w:r>
    </w:p>
    <w:p w:rsidR="00000000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"Госпитализация застрахованного лица в плановой или неотложной форме с нарушением </w:t>
      </w:r>
      <w:r>
        <w:rPr>
          <w:rFonts w:ascii="Times New Roman" w:hAnsi="Times New Roman"/>
          <w:sz w:val="24"/>
          <w:szCs w:val="24"/>
        </w:rPr>
        <w:lastRenderedPageBreak/>
        <w:t>требований к профильности оказанной медицинской помощи (непрофильная госпитализация), кроме случаев госпитализации в неотложной и экстр</w:t>
      </w:r>
      <w:r>
        <w:rPr>
          <w:rFonts w:ascii="Times New Roman" w:hAnsi="Times New Roman"/>
          <w:sz w:val="24"/>
          <w:szCs w:val="24"/>
        </w:rPr>
        <w:t>енной форме с последующим переводом в профильные медицинские организации (структурные подразделения медицинских организаций) в течение суток или более, если перевод в течение суток невозможен с учетом тяжести состояния пациента и его транспортабельности.";</w:t>
      </w:r>
    </w:p>
    <w:p w:rsidR="00E53265" w:rsidRDefault="00E532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в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пункте 3.13</w:t>
        </w:r>
      </w:hyperlink>
      <w:r>
        <w:rPr>
          <w:rFonts w:ascii="Times New Roman" w:hAnsi="Times New Roman"/>
          <w:sz w:val="24"/>
          <w:szCs w:val="24"/>
        </w:rPr>
        <w:t xml:space="preserve"> раздела 3 в графе "Перечень оснований" слова "стандартов медицинской помощи и" исключить.</w:t>
      </w:r>
    </w:p>
    <w:sectPr w:rsidR="00E5326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091"/>
    <w:rsid w:val="00DB7091"/>
    <w:rsid w:val="00E5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B2BC8A-6138-40AF-846B-EE750C0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77132#l10876" TargetMode="External"/><Relationship Id="rId18" Type="http://schemas.openxmlformats.org/officeDocument/2006/relationships/hyperlink" Target="https://normativ.kontur.ru/document?moduleid=1&amp;documentid=442322#l1087" TargetMode="External"/><Relationship Id="rId26" Type="http://schemas.openxmlformats.org/officeDocument/2006/relationships/hyperlink" Target="https://normativ.kontur.ru/document?moduleid=1&amp;documentid=442322#l1872" TargetMode="External"/><Relationship Id="rId39" Type="http://schemas.openxmlformats.org/officeDocument/2006/relationships/hyperlink" Target="https://normativ.kontur.ru/document?moduleid=1&amp;documentid=468321#l89" TargetMode="External"/><Relationship Id="rId21" Type="http://schemas.openxmlformats.org/officeDocument/2006/relationships/hyperlink" Target="https://normativ.kontur.ru/document?moduleid=1&amp;documentid=442322#l1116" TargetMode="External"/><Relationship Id="rId34" Type="http://schemas.openxmlformats.org/officeDocument/2006/relationships/hyperlink" Target="https://normativ.kontur.ru/document?moduleid=1&amp;documentid=468321#l43" TargetMode="External"/><Relationship Id="rId42" Type="http://schemas.openxmlformats.org/officeDocument/2006/relationships/hyperlink" Target="https://normativ.kontur.ru/document?moduleid=1&amp;documentid=468321#l183" TargetMode="External"/><Relationship Id="rId47" Type="http://schemas.openxmlformats.org/officeDocument/2006/relationships/hyperlink" Target="https://normativ.kontur.ru/document?moduleid=1&amp;documentid=468321#l51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468321#l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42322#l1075" TargetMode="External"/><Relationship Id="rId29" Type="http://schemas.openxmlformats.org/officeDocument/2006/relationships/hyperlink" Target="https://normativ.kontur.ru/document?moduleid=1&amp;documentid=442322#l1936" TargetMode="External"/><Relationship Id="rId11" Type="http://schemas.openxmlformats.org/officeDocument/2006/relationships/hyperlink" Target="https://normativ.kontur.ru/document?moduleid=1&amp;documentid=477132#l97" TargetMode="External"/><Relationship Id="rId24" Type="http://schemas.openxmlformats.org/officeDocument/2006/relationships/hyperlink" Target="https://normativ.kontur.ru/document?moduleid=1&amp;documentid=442322#l1644" TargetMode="External"/><Relationship Id="rId32" Type="http://schemas.openxmlformats.org/officeDocument/2006/relationships/hyperlink" Target="https://normativ.kontur.ru/document?moduleid=1&amp;documentid=468321#l10" TargetMode="External"/><Relationship Id="rId37" Type="http://schemas.openxmlformats.org/officeDocument/2006/relationships/hyperlink" Target="https://normativ.kontur.ru/document?moduleid=1&amp;documentid=468321#l306" TargetMode="External"/><Relationship Id="rId40" Type="http://schemas.openxmlformats.org/officeDocument/2006/relationships/hyperlink" Target="https://normativ.kontur.ru/document?moduleid=1&amp;documentid=468321#l174" TargetMode="External"/><Relationship Id="rId45" Type="http://schemas.openxmlformats.org/officeDocument/2006/relationships/hyperlink" Target="https://normativ.kontur.ru/document?moduleid=1&amp;documentid=468321#l476" TargetMode="External"/><Relationship Id="rId5" Type="http://schemas.openxmlformats.org/officeDocument/2006/relationships/hyperlink" Target="https://normativ.kontur.ru/document?moduleid=1&amp;documentid=478066#l207" TargetMode="External"/><Relationship Id="rId15" Type="http://schemas.openxmlformats.org/officeDocument/2006/relationships/hyperlink" Target="https://normativ.kontur.ru/document?moduleid=1&amp;documentid=442322#l1040" TargetMode="External"/><Relationship Id="rId23" Type="http://schemas.openxmlformats.org/officeDocument/2006/relationships/hyperlink" Target="https://normativ.kontur.ru/document?moduleid=1&amp;documentid=442322#l2403" TargetMode="External"/><Relationship Id="rId28" Type="http://schemas.openxmlformats.org/officeDocument/2006/relationships/hyperlink" Target="https://normativ.kontur.ru/document?moduleid=1&amp;documentid=442322#l1920" TargetMode="External"/><Relationship Id="rId36" Type="http://schemas.openxmlformats.org/officeDocument/2006/relationships/hyperlink" Target="https://normativ.kontur.ru/document?moduleid=1&amp;documentid=468321#l297" TargetMode="External"/><Relationship Id="rId49" Type="http://schemas.openxmlformats.org/officeDocument/2006/relationships/hyperlink" Target="https://normativ.kontur.ru/document?moduleid=1&amp;documentid=468321#l488" TargetMode="External"/><Relationship Id="rId10" Type="http://schemas.openxmlformats.org/officeDocument/2006/relationships/hyperlink" Target="https://normativ.kontur.ru/document?moduleid=1&amp;documentid=442322#l1007" TargetMode="External"/><Relationship Id="rId19" Type="http://schemas.openxmlformats.org/officeDocument/2006/relationships/hyperlink" Target="https://normativ.kontur.ru/document?moduleid=1&amp;documentid=442322#l1122" TargetMode="External"/><Relationship Id="rId31" Type="http://schemas.openxmlformats.org/officeDocument/2006/relationships/hyperlink" Target="https://normativ.kontur.ru/document?moduleid=1&amp;documentid=468321#l2" TargetMode="External"/><Relationship Id="rId44" Type="http://schemas.openxmlformats.org/officeDocument/2006/relationships/hyperlink" Target="https://normativ.kontur.ru/document?moduleid=1&amp;documentid=468321#l470" TargetMode="External"/><Relationship Id="rId4" Type="http://schemas.openxmlformats.org/officeDocument/2006/relationships/hyperlink" Target="https://normativ.kontur.ru/document?moduleid=1&amp;documentid=478066#l204" TargetMode="External"/><Relationship Id="rId9" Type="http://schemas.openxmlformats.org/officeDocument/2006/relationships/hyperlink" Target="https://normativ.kontur.ru/document?moduleid=1&amp;documentid=442322#l2116" TargetMode="External"/><Relationship Id="rId14" Type="http://schemas.openxmlformats.org/officeDocument/2006/relationships/hyperlink" Target="https://normativ.kontur.ru/document?moduleid=1&amp;documentid=463785#l372" TargetMode="External"/><Relationship Id="rId22" Type="http://schemas.openxmlformats.org/officeDocument/2006/relationships/hyperlink" Target="https://normativ.kontur.ru/document?moduleid=1&amp;documentid=442322#l1240" TargetMode="External"/><Relationship Id="rId27" Type="http://schemas.openxmlformats.org/officeDocument/2006/relationships/hyperlink" Target="https://normativ.kontur.ru/document?moduleid=1&amp;documentid=442322#l1894" TargetMode="External"/><Relationship Id="rId30" Type="http://schemas.openxmlformats.org/officeDocument/2006/relationships/hyperlink" Target="https://normativ.kontur.ru/document?moduleid=1&amp;documentid=442322#l1960" TargetMode="External"/><Relationship Id="rId35" Type="http://schemas.openxmlformats.org/officeDocument/2006/relationships/hyperlink" Target="https://normativ.kontur.ru/document?moduleid=1&amp;documentid=468321#l292" TargetMode="External"/><Relationship Id="rId43" Type="http://schemas.openxmlformats.org/officeDocument/2006/relationships/hyperlink" Target="https://normativ.kontur.ru/document?moduleid=1&amp;documentid=468321#l186" TargetMode="External"/><Relationship Id="rId48" Type="http://schemas.openxmlformats.org/officeDocument/2006/relationships/hyperlink" Target="https://normativ.kontur.ru/document?moduleid=1&amp;documentid=468321#l484" TargetMode="External"/><Relationship Id="rId8" Type="http://schemas.openxmlformats.org/officeDocument/2006/relationships/hyperlink" Target="https://normativ.kontur.ru/document?moduleid=1&amp;documentid=442322#l25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77132#l14824" TargetMode="External"/><Relationship Id="rId17" Type="http://schemas.openxmlformats.org/officeDocument/2006/relationships/hyperlink" Target="https://normativ.kontur.ru/document?moduleid=1&amp;documentid=442322#l1079" TargetMode="External"/><Relationship Id="rId25" Type="http://schemas.openxmlformats.org/officeDocument/2006/relationships/hyperlink" Target="https://normativ.kontur.ru/document?moduleid=1&amp;documentid=442322#l1828" TargetMode="External"/><Relationship Id="rId33" Type="http://schemas.openxmlformats.org/officeDocument/2006/relationships/hyperlink" Target="https://normativ.kontur.ru/document?moduleid=1&amp;documentid=468321#l39" TargetMode="External"/><Relationship Id="rId38" Type="http://schemas.openxmlformats.org/officeDocument/2006/relationships/hyperlink" Target="https://normativ.kontur.ru/document?moduleid=1&amp;documentid=468321#l85" TargetMode="External"/><Relationship Id="rId46" Type="http://schemas.openxmlformats.org/officeDocument/2006/relationships/hyperlink" Target="https://normativ.kontur.ru/document?moduleid=1&amp;documentid=468321#l478" TargetMode="External"/><Relationship Id="rId20" Type="http://schemas.openxmlformats.org/officeDocument/2006/relationships/hyperlink" Target="https://normativ.kontur.ru/document?moduleid=1&amp;documentid=442322#l1098" TargetMode="External"/><Relationship Id="rId41" Type="http://schemas.openxmlformats.org/officeDocument/2006/relationships/hyperlink" Target="https://normativ.kontur.ru/document?moduleid=1&amp;documentid=468321#l180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42322#l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2024-10-24T08:26:00Z</dcterms:created>
  <dcterms:modified xsi:type="dcterms:W3CDTF">2024-10-24T08:26:00Z</dcterms:modified>
</cp:coreProperties>
</file>